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tabs>
          <w:tab w:val="left" w:pos="567"/>
        </w:tabs>
        <w:kinsoku/>
        <w:wordWrap/>
        <w:topLinePunct w:val="0"/>
        <w:bidi w:val="0"/>
        <w:outlineLvl w:val="0"/>
        <w:rPr>
          <w:rFonts w:hint="default" w:ascii="Arial" w:hAnsi="Arial" w:eastAsia="宋体" w:cs="Arial"/>
          <w:b/>
          <w:sz w:val="24"/>
          <w:szCs w:val="24"/>
          <w:lang w:val="en-US" w:eastAsia="zh-CN"/>
        </w:rPr>
      </w:pPr>
      <w:bookmarkStart w:id="0" w:name="_Hlt448930105"/>
      <w:bookmarkEnd w:id="0"/>
      <w:bookmarkStart w:id="1" w:name="_Hlt450051172"/>
      <w:bookmarkEnd w:id="1"/>
      <w:bookmarkStart w:id="2" w:name="_Hlt450066085"/>
      <w:bookmarkEnd w:id="2"/>
      <w:bookmarkStart w:id="3" w:name="_Hlt450066087"/>
      <w:bookmarkEnd w:id="3"/>
      <w:bookmarkStart w:id="4" w:name="_Hlt450039480"/>
      <w:bookmarkEnd w:id="4"/>
      <w:bookmarkStart w:id="5" w:name="_Hlt449016246"/>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1638</w:t>
      </w:r>
    </w:p>
    <w:p>
      <w:pPr>
        <w:pStyle w:val="94"/>
        <w:keepNext/>
        <w:keepLines/>
        <w:pageBreakBefore w:val="0"/>
        <w:kinsoku/>
        <w:wordWrap/>
        <w:topLinePunct w:val="0"/>
        <w:autoSpaceDN/>
        <w:bidi w:val="0"/>
        <w:spacing w:before="0" w:beforeAutospacing="0" w:after="0"/>
        <w:ind w:left="2126" w:hanging="2126"/>
        <w:jc w:val="both"/>
        <w:outlineLvl w:val="0"/>
        <w:rPr>
          <w:sz w:val="24"/>
        </w:rPr>
      </w:pPr>
      <w:r>
        <w:rPr>
          <w:rFonts w:ascii="Arial" w:hAnsi="Arial" w:cs="Arial"/>
          <w:b/>
        </w:rPr>
        <w:t>Budapest, Hungary, June 6-9, 2022</w:t>
      </w:r>
      <w:r>
        <w:rPr>
          <w:rFonts w:hint="eastAsia"/>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4Rx</w:t>
      </w:r>
      <w:r>
        <w:rPr>
          <w:rFonts w:hint="eastAsia" w:ascii="Arial" w:hAnsi="Arial" w:cs="Arial"/>
          <w:b/>
          <w:lang w:val="en-US" w:eastAsia="zh-CN"/>
        </w:rPr>
        <w:t xml:space="preserve"> and 8Rx</w:t>
      </w:r>
      <w:r>
        <w:rPr>
          <w:rFonts w:hint="eastAsia" w:ascii="Arial" w:hAnsi="Arial" w:cs="Arial"/>
          <w:b/>
          <w:lang w:eastAsia="zh-TW"/>
        </w:rPr>
        <w:t xml:space="preserve">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rPr>
          <w:rStyle w:val="49"/>
        </w:rPr>
        <w:fldChar w:fldCharType="end"/>
      </w:r>
    </w:p>
    <w:p>
      <w:pPr>
        <w:pStyle w:val="2"/>
      </w:pPr>
      <w:r>
        <w:t>Title:</w:t>
      </w:r>
      <w:r>
        <w:rPr>
          <w:rFonts w:hint="eastAsia"/>
          <w:lang w:eastAsia="zh-TW"/>
        </w:rPr>
        <w:t xml:space="preserve"> </w:t>
      </w:r>
      <w:r>
        <w:rPr>
          <w:lang w:eastAsia="zh-TW"/>
        </w:rPr>
        <w:t xml:space="preserve">New WID on 4Rx </w:t>
      </w:r>
      <w:r>
        <w:rPr>
          <w:rFonts w:hint="eastAsia"/>
          <w:lang w:val="en-US" w:eastAsia="zh-CN"/>
        </w:rPr>
        <w:t xml:space="preserve">and 8Rx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w:t>
      </w:r>
      <w:r>
        <w:t xml:space="preserve"> </w:t>
      </w:r>
      <w:r>
        <w:rPr>
          <w:rFonts w:hint="eastAsia"/>
          <w:lang w:val="en-US" w:eastAsia="zh-CN"/>
        </w:rPr>
        <w:t>in Rel-18</w:t>
      </w:r>
      <w:r>
        <w:t xml:space="preserve"> </w:t>
      </w:r>
    </w:p>
    <w:p>
      <w:pPr>
        <w:pStyle w:val="3"/>
        <w:tabs>
          <w:tab w:val="left" w:pos="2552"/>
        </w:tabs>
        <w:rPr>
          <w:lang w:eastAsia="zh-TW"/>
        </w:rPr>
      </w:pPr>
      <w:r>
        <w:t xml:space="preserve">Acronym: </w:t>
      </w:r>
    </w:p>
    <w:p>
      <w:pPr>
        <w:pStyle w:val="3"/>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68"/>
        <w:spacing w:after="0"/>
        <w:rPr>
          <w:color w:val="0000FF"/>
        </w:rPr>
      </w:pPr>
      <w:r>
        <w:rPr>
          <w:color w:val="0000FF"/>
        </w:rPr>
        <w:t>NOTE:</w:t>
      </w:r>
      <w:r>
        <w:rPr>
          <w:color w:val="0000FF"/>
        </w:rPr>
        <w:tab/>
      </w:r>
      <w:r>
        <w:rPr>
          <w:color w:val="0000FF"/>
        </w:rPr>
        <w:t>For new WIs/SIs leave the Unique identifier empty and make a proposal for an Acronym.</w:t>
      </w:r>
    </w:p>
    <w:p>
      <w:pPr>
        <w:pStyle w:val="68"/>
        <w:spacing w:after="0"/>
        <w:rPr>
          <w:color w:val="0000FF"/>
        </w:rPr>
      </w:pPr>
      <w:r>
        <w:rPr>
          <w:color w:val="0000FF"/>
        </w:rPr>
        <w:tab/>
      </w:r>
      <w:r>
        <w:rPr>
          <w:color w:val="0000FF"/>
        </w:rPr>
        <w:t>For a revised WI/SI: Take Unique identifier and acronym as shown in 3GPP workplan.</w:t>
      </w:r>
    </w:p>
    <w:p>
      <w:pPr>
        <w:pStyle w:val="68"/>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8"/>
        <w:spacing w:after="0"/>
        <w:rPr>
          <w:color w:val="0000FF"/>
        </w:rPr>
      </w:pPr>
      <w:r>
        <w:rPr>
          <w:color w:val="0000FF"/>
        </w:rPr>
        <w:tab/>
      </w:r>
      <w:r>
        <w:rPr>
          <w:color w:val="0000FF"/>
        </w:rPr>
        <w:t>Please tick (X) the applicable box(es) in the table below:</w:t>
      </w:r>
    </w:p>
    <w:p>
      <w:pPr>
        <w:pStyle w:val="68"/>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ind w:right="-99"/>
              <w:rPr>
                <w:b/>
              </w:rPr>
            </w:pPr>
            <w:r>
              <w:rPr>
                <w:b/>
              </w:rPr>
              <w:t>Affects:</w:t>
            </w:r>
          </w:p>
        </w:tc>
        <w:tc>
          <w:tcPr>
            <w:tcW w:w="0" w:type="auto"/>
            <w:tcBorders>
              <w:left w:val="nil"/>
              <w:bottom w:val="single" w:color="auto" w:sz="12" w:space="0"/>
            </w:tcBorders>
            <w:shd w:val="clear" w:color="auto" w:fill="E0E0E0"/>
          </w:tcPr>
          <w:p>
            <w:pPr>
              <w:pStyle w:val="64"/>
            </w:pPr>
            <w:r>
              <w:t>UICC apps</w:t>
            </w:r>
          </w:p>
        </w:tc>
        <w:tc>
          <w:tcPr>
            <w:tcW w:w="0" w:type="auto"/>
            <w:tcBorders>
              <w:bottom w:val="single" w:color="auto" w:sz="12" w:space="0"/>
            </w:tcBorders>
            <w:shd w:val="clear" w:color="auto" w:fill="E0E0E0"/>
          </w:tcPr>
          <w:p>
            <w:pPr>
              <w:pStyle w:val="64"/>
            </w:pPr>
            <w:r>
              <w:t>ME</w:t>
            </w:r>
          </w:p>
        </w:tc>
        <w:tc>
          <w:tcPr>
            <w:tcW w:w="0" w:type="auto"/>
            <w:tcBorders>
              <w:bottom w:val="single" w:color="auto" w:sz="12" w:space="0"/>
            </w:tcBorders>
            <w:shd w:val="clear" w:color="auto" w:fill="E0E0E0"/>
          </w:tcPr>
          <w:p>
            <w:pPr>
              <w:pStyle w:val="64"/>
            </w:pPr>
            <w:r>
              <w:t>AN</w:t>
            </w:r>
          </w:p>
        </w:tc>
        <w:tc>
          <w:tcPr>
            <w:tcW w:w="0" w:type="auto"/>
            <w:tcBorders>
              <w:bottom w:val="single" w:color="auto" w:sz="12" w:space="0"/>
            </w:tcBorders>
            <w:shd w:val="clear" w:color="auto" w:fill="E0E0E0"/>
          </w:tcPr>
          <w:p>
            <w:pPr>
              <w:pStyle w:val="64"/>
            </w:pPr>
            <w:r>
              <w:t>CN</w:t>
            </w:r>
          </w:p>
        </w:tc>
        <w:tc>
          <w:tcPr>
            <w:tcW w:w="0" w:type="auto"/>
            <w:tcBorders>
              <w:bottom w:val="single" w:color="auto" w:sz="12" w:space="0"/>
            </w:tcBorders>
            <w:shd w:val="clear" w:color="auto" w:fill="E0E0E0"/>
          </w:tcPr>
          <w:p>
            <w:pPr>
              <w:pStyle w:val="6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ind w:right="-99"/>
              <w:rPr>
                <w:b/>
              </w:rPr>
            </w:pPr>
            <w:r>
              <w:rPr>
                <w:b/>
              </w:rPr>
              <w:t>Yes</w:t>
            </w:r>
          </w:p>
        </w:tc>
        <w:tc>
          <w:tcPr>
            <w:tcW w:w="0" w:type="auto"/>
            <w:tcBorders>
              <w:top w:val="nil"/>
              <w:left w:val="nil"/>
            </w:tcBorders>
          </w:tcPr>
          <w:p>
            <w:pPr>
              <w:pStyle w:val="55"/>
              <w:rPr>
                <w:lang w:eastAsia="en-US"/>
              </w:rPr>
            </w:pPr>
          </w:p>
        </w:tc>
        <w:tc>
          <w:tcPr>
            <w:tcW w:w="0" w:type="auto"/>
            <w:tcBorders>
              <w:top w:val="nil"/>
            </w:tcBorders>
          </w:tcPr>
          <w:p>
            <w:pPr>
              <w:pStyle w:val="55"/>
              <w:rPr>
                <w:lang w:eastAsia="en-US"/>
              </w:rPr>
            </w:pPr>
            <w:r>
              <w:t>X</w:t>
            </w: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c>
          <w:tcPr>
            <w:tcW w:w="0" w:type="auto"/>
            <w:tcBorders>
              <w:top w:val="nil"/>
            </w:tcBorders>
          </w:tcPr>
          <w:p>
            <w:pPr>
              <w:pStyle w:val="55"/>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No</w:t>
            </w:r>
          </w:p>
        </w:tc>
        <w:tc>
          <w:tcPr>
            <w:tcW w:w="0" w:type="auto"/>
            <w:tcBorders>
              <w:left w:val="nil"/>
            </w:tcBorders>
          </w:tcPr>
          <w:p>
            <w:pPr>
              <w:pStyle w:val="55"/>
              <w:rPr>
                <w:lang w:eastAsia="en-US"/>
              </w:rPr>
            </w:pPr>
            <w:r>
              <w:t>X</w:t>
            </w:r>
          </w:p>
        </w:tc>
        <w:tc>
          <w:tcPr>
            <w:tcW w:w="0" w:type="auto"/>
          </w:tcPr>
          <w:p>
            <w:pPr>
              <w:pStyle w:val="55"/>
              <w:rPr>
                <w:lang w:eastAsia="en-US"/>
              </w:rPr>
            </w:pPr>
          </w:p>
        </w:tc>
        <w:tc>
          <w:tcPr>
            <w:tcW w:w="0" w:type="auto"/>
          </w:tcPr>
          <w:p>
            <w:pPr>
              <w:pStyle w:val="55"/>
              <w:rPr>
                <w:lang w:eastAsia="en-US"/>
              </w:rPr>
            </w:pPr>
            <w:r>
              <w:t>X</w:t>
            </w:r>
          </w:p>
        </w:tc>
        <w:tc>
          <w:tcPr>
            <w:tcW w:w="0" w:type="auto"/>
          </w:tcPr>
          <w:p>
            <w:pPr>
              <w:pStyle w:val="55"/>
              <w:rPr>
                <w:lang w:eastAsia="en-US"/>
              </w:rPr>
            </w:pPr>
            <w:r>
              <w:t>X</w:t>
            </w:r>
          </w:p>
        </w:tc>
        <w:tc>
          <w:tcPr>
            <w:tcW w:w="0" w:type="auto"/>
          </w:tcPr>
          <w:p>
            <w:pPr>
              <w:pStyle w:val="55"/>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ind w:right="-99"/>
              <w:rPr>
                <w:b/>
              </w:rPr>
            </w:pPr>
            <w:r>
              <w:rPr>
                <w:b/>
              </w:rPr>
              <w:t>Don't know</w:t>
            </w:r>
          </w:p>
        </w:tc>
        <w:tc>
          <w:tcPr>
            <w:tcW w:w="0" w:type="auto"/>
            <w:tcBorders>
              <w:left w:val="nil"/>
            </w:tcBorders>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c>
          <w:tcPr>
            <w:tcW w:w="0" w:type="auto"/>
          </w:tcPr>
          <w:p>
            <w:pPr>
              <w:pStyle w:val="55"/>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2"/>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r>
              <w:t>X</w:t>
            </w:r>
          </w:p>
        </w:tc>
        <w:tc>
          <w:tcPr>
            <w:tcW w:w="2694" w:type="dxa"/>
            <w:shd w:val="clear" w:color="auto" w:fill="E0E0E0"/>
            <w:tcMar>
              <w:left w:w="227" w:type="dxa"/>
            </w:tcMar>
          </w:tcPr>
          <w:p>
            <w:pPr>
              <w:pStyle w:val="6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Mar>
              <w:left w:w="397" w:type="dxa"/>
            </w:tcMar>
          </w:tcPr>
          <w:p>
            <w:pPr>
              <w:pStyle w:val="6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5"/>
            </w:pPr>
          </w:p>
        </w:tc>
        <w:tc>
          <w:tcPr>
            <w:tcW w:w="2694" w:type="dxa"/>
            <w:shd w:val="clear" w:color="auto" w:fill="E0E0E0"/>
          </w:tcPr>
          <w:p>
            <w:pPr>
              <w:pStyle w:val="64"/>
              <w:ind w:right="-99"/>
              <w:jc w:val="left"/>
            </w:pPr>
            <w:r>
              <w:rPr>
                <w:color w:val="4F81BD"/>
                <w:sz w:val="20"/>
              </w:rPr>
              <w:t>Study Item</w:t>
            </w:r>
          </w:p>
        </w:tc>
      </w:tr>
    </w:tbl>
    <w:p>
      <w:pPr>
        <w:pStyle w:val="68"/>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4"/>
              <w:ind w:right="-99"/>
              <w:jc w:val="left"/>
            </w:pPr>
            <w:r>
              <w:t>Acronym</w:t>
            </w:r>
          </w:p>
        </w:tc>
        <w:tc>
          <w:tcPr>
            <w:tcW w:w="1101" w:type="dxa"/>
            <w:shd w:val="clear" w:color="auto" w:fill="E0E0E0"/>
          </w:tcPr>
          <w:p>
            <w:pPr>
              <w:pStyle w:val="64"/>
              <w:ind w:right="-99"/>
              <w:jc w:val="left"/>
            </w:pPr>
            <w:r>
              <w:t>Working Group</w:t>
            </w:r>
          </w:p>
        </w:tc>
        <w:tc>
          <w:tcPr>
            <w:tcW w:w="1101" w:type="dxa"/>
            <w:shd w:val="clear" w:color="auto" w:fill="E0E0E0"/>
          </w:tcPr>
          <w:p>
            <w:pPr>
              <w:pStyle w:val="64"/>
              <w:ind w:right="-99"/>
              <w:jc w:val="left"/>
            </w:pPr>
            <w:r>
              <w:t>Unique ID</w:t>
            </w:r>
          </w:p>
        </w:tc>
        <w:tc>
          <w:tcPr>
            <w:tcW w:w="7011" w:type="dxa"/>
            <w:shd w:val="clear" w:color="auto" w:fill="E0E0E0"/>
          </w:tcPr>
          <w:p>
            <w:pPr>
              <w:pStyle w:val="6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rPr>
                <w:rFonts w:hint="eastAsia"/>
                <w:lang w:eastAsia="zh-TW"/>
              </w:rPr>
              <w:t>TBD</w:t>
            </w:r>
          </w:p>
        </w:tc>
        <w:tc>
          <w:tcPr>
            <w:tcW w:w="1101" w:type="dxa"/>
          </w:tcPr>
          <w:p>
            <w:pPr>
              <w:pStyle w:val="54"/>
            </w:pPr>
            <w:r>
              <w:t>RAN4</w:t>
            </w:r>
          </w:p>
        </w:tc>
        <w:tc>
          <w:tcPr>
            <w:tcW w:w="1101" w:type="dxa"/>
          </w:tcPr>
          <w:p>
            <w:pPr>
              <w:pStyle w:val="54"/>
              <w:rPr>
                <w:lang w:eastAsia="zh-TW"/>
              </w:rPr>
            </w:pPr>
            <w:r>
              <w:rPr>
                <w:rFonts w:hint="eastAsia"/>
                <w:lang w:eastAsia="zh-TW"/>
              </w:rPr>
              <w:t>TBD</w:t>
            </w:r>
          </w:p>
        </w:tc>
        <w:tc>
          <w:tcPr>
            <w:tcW w:w="7011" w:type="dxa"/>
          </w:tcPr>
          <w:p>
            <w:pPr>
              <w:pStyle w:val="72"/>
              <w:rPr>
                <w:rFonts w:ascii="Arial" w:hAnsi="Arial" w:cs="Arial"/>
              </w:rPr>
            </w:pPr>
            <w:r>
              <w:rPr>
                <w:rFonts w:ascii="Arial" w:hAnsi="Arial" w:cs="Arial"/>
                <w:sz w:val="18"/>
              </w:rPr>
              <w:t xml:space="preserve">New WID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862"/>
        <w:gridCol w:w="1851"/>
        <w:gridCol w:w="3378"/>
        <w:gridCol w:w="27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tcPr>
          <w:p>
            <w:pPr>
              <w:pStyle w:val="6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shd w:val="clear" w:color="auto" w:fill="E0E0E0"/>
          </w:tcPr>
          <w:p>
            <w:pPr>
              <w:pStyle w:val="64"/>
              <w:ind w:right="-99"/>
              <w:jc w:val="left"/>
            </w:pPr>
          </w:p>
        </w:tc>
        <w:tc>
          <w:tcPr>
            <w:tcW w:w="939" w:type="pct"/>
            <w:shd w:val="clear" w:color="auto" w:fill="E0E0E0"/>
          </w:tcPr>
          <w:p>
            <w:pPr>
              <w:pStyle w:val="64"/>
              <w:ind w:right="-99"/>
              <w:jc w:val="left"/>
            </w:pPr>
            <w:r>
              <w:t>Unique ID</w:t>
            </w:r>
          </w:p>
        </w:tc>
        <w:tc>
          <w:tcPr>
            <w:tcW w:w="1714" w:type="pct"/>
            <w:shd w:val="clear" w:color="auto" w:fill="E0E0E0"/>
          </w:tcPr>
          <w:p>
            <w:pPr>
              <w:pStyle w:val="64"/>
              <w:ind w:right="-99"/>
              <w:jc w:val="left"/>
            </w:pPr>
            <w:r>
              <w:t>Title</w:t>
            </w:r>
          </w:p>
        </w:tc>
        <w:tc>
          <w:tcPr>
            <w:tcW w:w="1400" w:type="pct"/>
            <w:shd w:val="clear" w:color="auto" w:fill="E0E0E0"/>
          </w:tcPr>
          <w:p>
            <w:pPr>
              <w:pStyle w:val="6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tcPr>
          <w:p>
            <w:pPr>
              <w:pStyle w:val="54"/>
              <w:rPr>
                <w:rFonts w:hint="default" w:eastAsia="宋体"/>
                <w:lang w:val="en-US" w:eastAsia="zh-CN"/>
              </w:rPr>
            </w:pPr>
            <w:r>
              <w:rPr>
                <w:rFonts w:hint="eastAsia"/>
                <w:lang w:val="en-US" w:eastAsia="zh-CN"/>
              </w:rPr>
              <w:t>TBD</w:t>
            </w:r>
          </w:p>
        </w:tc>
        <w:tc>
          <w:tcPr>
            <w:tcW w:w="939" w:type="pct"/>
          </w:tcPr>
          <w:p>
            <w:pPr>
              <w:pStyle w:val="54"/>
              <w:rPr>
                <w:lang w:eastAsia="zh-TW"/>
              </w:rPr>
            </w:pPr>
            <w:r>
              <w:rPr>
                <w:rFonts w:hint="eastAsia"/>
                <w:lang w:eastAsia="zh-TW"/>
              </w:rPr>
              <w:t>TBD</w:t>
            </w:r>
          </w:p>
        </w:tc>
        <w:tc>
          <w:tcPr>
            <w:tcW w:w="1714" w:type="pct"/>
          </w:tcPr>
          <w:p>
            <w:pPr>
              <w:pStyle w:val="72"/>
              <w:rPr>
                <w:rFonts w:ascii="Arial" w:hAnsi="Arial" w:cs="Arial"/>
                <w:sz w:val="18"/>
                <w:szCs w:val="18"/>
                <w:lang w:eastAsia="zh-CN"/>
              </w:rPr>
            </w:pPr>
            <w:r>
              <w:rPr>
                <w:rFonts w:ascii="Arial" w:hAnsi="Arial" w:cs="Arial"/>
                <w:sz w:val="18"/>
                <w:szCs w:val="18"/>
              </w:rPr>
              <w:t xml:space="preserve">Core part: New WID </w:t>
            </w:r>
            <w:r>
              <w:rPr>
                <w:rFonts w:ascii="Arial" w:hAnsi="Arial" w:cs="Arial"/>
                <w:sz w:val="18"/>
              </w:rPr>
              <w:t xml:space="preserve">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1400" w:type="pct"/>
          </w:tcPr>
          <w:p>
            <w:pPr>
              <w:pStyle w:val="72"/>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45" w:type="pct"/>
          </w:tcPr>
          <w:p>
            <w:pPr>
              <w:pStyle w:val="54"/>
              <w:rPr>
                <w:rFonts w:hint="default" w:eastAsia="宋体"/>
                <w:lang w:val="en-US" w:eastAsia="zh-CN"/>
              </w:rPr>
            </w:pPr>
            <w:r>
              <w:rPr>
                <w:rFonts w:hint="eastAsia"/>
                <w:lang w:val="en-US" w:eastAsia="zh-CN"/>
              </w:rPr>
              <w:t>TBD</w:t>
            </w:r>
          </w:p>
        </w:tc>
        <w:tc>
          <w:tcPr>
            <w:tcW w:w="939" w:type="pct"/>
          </w:tcPr>
          <w:p>
            <w:pPr>
              <w:pStyle w:val="54"/>
              <w:rPr>
                <w:lang w:eastAsia="zh-TW"/>
              </w:rPr>
            </w:pPr>
            <w:r>
              <w:rPr>
                <w:rFonts w:hint="eastAsia"/>
                <w:lang w:eastAsia="zh-TW"/>
              </w:rPr>
              <w:t>TBD</w:t>
            </w:r>
          </w:p>
        </w:tc>
        <w:tc>
          <w:tcPr>
            <w:tcW w:w="1714" w:type="pct"/>
          </w:tcPr>
          <w:p>
            <w:pPr>
              <w:pStyle w:val="72"/>
              <w:rPr>
                <w:rFonts w:ascii="Arial" w:hAnsi="Arial" w:cs="Arial"/>
                <w:sz w:val="18"/>
                <w:szCs w:val="18"/>
                <w:lang w:eastAsia="en-US"/>
              </w:rPr>
            </w:pPr>
            <w:r>
              <w:rPr>
                <w:rFonts w:ascii="Arial" w:hAnsi="Arial" w:cs="Arial"/>
                <w:sz w:val="18"/>
                <w:szCs w:val="18"/>
              </w:rPr>
              <w:t>Perf. part: New WID</w:t>
            </w:r>
            <w:r>
              <w:rPr>
                <w:rFonts w:ascii="Arial" w:hAnsi="Arial" w:cs="Arial"/>
                <w:sz w:val="18"/>
              </w:rPr>
              <w:t xml:space="preserve">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1400" w:type="pct"/>
          </w:tcPr>
          <w:p>
            <w:pPr>
              <w:pStyle w:val="72"/>
              <w:rPr>
                <w:rFonts w:ascii="Arial" w:hAnsi="Arial" w:cs="Arial"/>
                <w:sz w:val="18"/>
                <w:szCs w:val="18"/>
                <w:lang w:eastAsia="en-US"/>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in the specification which do not support 4Rx implementation. It could be foreseen that there would more and more new NR FR1 bands will be requested by operators to support 4Rx implementation. </w:t>
      </w:r>
    </w:p>
    <w:p>
      <w:pPr>
        <w:rPr>
          <w:bCs/>
          <w:lang w:val="en-US" w:eastAsia="zh-CN"/>
        </w:rPr>
      </w:pPr>
      <w:r>
        <w:rPr>
          <w:rFonts w:hint="eastAsia"/>
          <w:lang w:val="en-US" w:eastAsia="zh-CN"/>
        </w:rPr>
        <w:t xml:space="preserve">Comparing with 4Rx, many more benefits can be achieved </w:t>
      </w:r>
      <w:r>
        <w:rPr>
          <w:lang w:val="en-US" w:eastAsia="zh-CN"/>
        </w:rPr>
        <w:t>for 8Rx. For example,</w:t>
      </w:r>
      <w:r>
        <w:rPr>
          <w:rFonts w:hint="eastAsia"/>
          <w:lang w:val="en-US" w:eastAsia="zh-CN"/>
        </w:rPr>
        <w:t xml:space="preserve"> it can </w:t>
      </w:r>
      <w:r>
        <w:rPr>
          <w:bCs/>
          <w:lang w:eastAsia="zh-CN"/>
        </w:rPr>
        <w:t>significantly improve the downlink throughput for a single user. A</w:t>
      </w:r>
      <w:r>
        <w:rPr>
          <w:rFonts w:hint="eastAsia"/>
          <w:bCs/>
          <w:lang w:eastAsia="zh-CN"/>
        </w:rPr>
        <w:t>lso</w:t>
      </w:r>
      <w:r>
        <w:rPr>
          <w:bCs/>
          <w:lang w:eastAsia="zh-CN"/>
        </w:rPr>
        <w:t>,</w:t>
      </w:r>
      <w:r>
        <w:rPr>
          <w:rFonts w:hint="eastAsia"/>
          <w:bCs/>
          <w:lang w:eastAsia="zh-CN"/>
        </w:rPr>
        <w:t xml:space="preserve"> </w:t>
      </w:r>
      <w:r>
        <w:rPr>
          <w:rFonts w:hint="eastAsia"/>
          <w:lang w:val="en-US" w:eastAsia="zh-CN"/>
        </w:rPr>
        <w:t>it can further enhance the coverage for the uses located at the cell edge</w:t>
      </w:r>
      <w:r>
        <w:rPr>
          <w:rFonts w:hint="eastAsia"/>
          <w:bCs/>
          <w:lang w:val="en-US" w:eastAsia="zh-CN"/>
        </w:rPr>
        <w:t xml:space="preserve">. For the RF requirement work, similar with 4Rx, it could be foreseen </w:t>
      </w:r>
      <w:r>
        <w:rPr>
          <w:bCs/>
          <w:lang w:val="en-US" w:eastAsia="zh-CN"/>
        </w:rPr>
        <w:t>that there would be limited impacts on the RF requirements when introducing 8Rx feature</w:t>
      </w:r>
      <w:r>
        <w:rPr>
          <w:rFonts w:hint="eastAsia"/>
          <w:bCs/>
          <w:lang w:val="en-US" w:eastAsia="zh-CN"/>
        </w:rPr>
        <w:t>, where only REFSEN requirements would be impacted and there are no studies on the other Rx requirements by referring to LTE 8Rx approach.</w:t>
      </w:r>
    </w:p>
    <w:p>
      <w:pPr>
        <w:rPr>
          <w:lang w:val="en-US" w:eastAsia="zh-CN"/>
        </w:rPr>
      </w:pPr>
      <w:r>
        <w:rPr>
          <w:rFonts w:hint="eastAsia"/>
          <w:bCs/>
          <w:lang w:val="en-US" w:eastAsia="zh-CN"/>
        </w:rPr>
        <w:t xml:space="preserve">For a UE supporting 8Rx, CPE/FWA/vehicle/industrial devices are applied in terms of the WID </w:t>
      </w:r>
      <w:bookmarkStart w:id="10" w:name="OLE_LINK3"/>
      <w:r>
        <w:rPr>
          <w:rFonts w:hint="eastAsia"/>
          <w:bCs/>
          <w:lang w:val="en-US" w:eastAsia="zh-CN"/>
        </w:rPr>
        <w:t>RP-220987</w:t>
      </w:r>
      <w:bookmarkEnd w:id="10"/>
      <w:r>
        <w:rPr>
          <w:rFonts w:hint="eastAsia"/>
          <w:bCs/>
          <w:lang w:val="en-US" w:eastAsia="zh-CN"/>
        </w:rPr>
        <w:t>.</w:t>
      </w:r>
      <w:r>
        <w:rPr>
          <w:rFonts w:hint="eastAsia"/>
          <w:lang w:val="en-US" w:eastAsia="zh-CN"/>
        </w:rPr>
        <w:t xml:space="preserve"> In addition, the total number of example bands is limited to 3 in the </w:t>
      </w:r>
      <w:r>
        <w:rPr>
          <w:rFonts w:hint="eastAsia"/>
          <w:bCs/>
          <w:lang w:val="en-US" w:eastAsia="zh-CN"/>
        </w:rPr>
        <w:t xml:space="preserve">RP-220987, </w:t>
      </w:r>
      <w:r>
        <w:rPr>
          <w:lang w:val="en-US" w:eastAsia="zh-CN"/>
        </w:rPr>
        <w:t>other bands to be introduced in the release independent way later</w:t>
      </w:r>
      <w:r>
        <w:rPr>
          <w:rFonts w:hint="eastAsia"/>
          <w:lang w:val="en-US" w:eastAsia="zh-CN"/>
        </w:rPr>
        <w:t>. Therefore, s</w:t>
      </w:r>
      <w:r>
        <w:rPr>
          <w:rFonts w:hint="eastAsia"/>
          <w:bCs/>
          <w:lang w:val="en-US" w:eastAsia="zh-CN"/>
        </w:rPr>
        <w:t xml:space="preserve">imilar </w:t>
      </w:r>
      <w:r>
        <w:rPr>
          <w:bCs/>
          <w:lang w:val="en-US" w:eastAsia="zh-CN"/>
        </w:rPr>
        <w:t>to</w:t>
      </w:r>
      <w:r>
        <w:rPr>
          <w:rFonts w:hint="eastAsia"/>
          <w:bCs/>
          <w:lang w:val="en-US" w:eastAsia="zh-CN"/>
        </w:rPr>
        <w:t xml:space="preserve"> 4Rx, t</w:t>
      </w:r>
      <w:r>
        <w:rPr>
          <w:rFonts w:hint="eastAsia"/>
          <w:lang w:val="en-US" w:eastAsia="zh-CN"/>
        </w:rPr>
        <w:t>he bands supporting 8Rx can be added to RAN4 specification if operators have the demands. Therefore, the bands supporting 8Rx can be introduced based on the request</w:t>
      </w:r>
      <w:r>
        <w:rPr>
          <w:lang w:val="en-US" w:eastAsia="zh-CN"/>
        </w:rPr>
        <w:t>s</w:t>
      </w:r>
      <w:r>
        <w:rPr>
          <w:rFonts w:hint="eastAsia"/>
          <w:lang w:val="en-US" w:eastAsia="zh-CN"/>
        </w:rPr>
        <w:t xml:space="preserve"> from operators.</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 xml:space="preserve">4Rx </w:t>
      </w:r>
      <w:r>
        <w:rPr>
          <w:rFonts w:hint="eastAsia"/>
          <w:lang w:val="en-US" w:eastAsia="zh-CN"/>
        </w:rPr>
        <w:t xml:space="preserve">and 8Rx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It shall be noted that the basket WID work for 8Rx will be started after all of the requirements for 8Rx are finished, and </w:t>
      </w:r>
      <w:r>
        <w:rPr>
          <w:rFonts w:hint="eastAsia"/>
          <w:color w:val="auto"/>
          <w:u w:val="none"/>
          <w:lang w:val="en-US" w:eastAsia="zh-CN"/>
        </w:rPr>
        <w:t>8Rx is target for CPE/FWA/vehicle/industrial devices</w:t>
      </w:r>
      <w:r>
        <w:rPr>
          <w:rFonts w:hint="eastAsia"/>
          <w:lang w:val="en-US" w:eastAsia="zh-CN"/>
        </w:rPr>
        <w:t>.</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pPr>
      <w:r>
        <w:t xml:space="preserve">Specify the </w:t>
      </w:r>
      <w:r>
        <w:rPr>
          <w:rFonts w:hint="eastAsia"/>
          <w:lang w:eastAsia="zh-TW"/>
        </w:rPr>
        <w:t>4Rx</w:t>
      </w:r>
      <w:r>
        <w:rPr>
          <w:rFonts w:hint="eastAsia"/>
          <w:lang w:val="en-US" w:eastAsia="zh-CN"/>
        </w:rPr>
        <w:t>/8Rx</w:t>
      </w:r>
      <w:r>
        <w:rPr>
          <w:rFonts w:hint="eastAsia"/>
          <w:lang w:eastAsia="zh-TW"/>
        </w:rPr>
        <w:t xml:space="preserve">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0"/>
          <w:numId w:val="3"/>
        </w:numPr>
        <w:spacing w:after="0"/>
        <w:rPr>
          <w:bCs/>
        </w:rPr>
      </w:pPr>
      <w:r>
        <w:rPr>
          <w:bCs/>
        </w:rPr>
        <w:t>Update</w:t>
      </w:r>
      <w:r>
        <w:rPr>
          <w:rFonts w:hint="eastAsia"/>
          <w:bCs/>
          <w:lang w:val="en-US" w:eastAsia="zh-CN"/>
        </w:rPr>
        <w:t xml:space="preserve"> the MSD requirements for NR inter-band </w:t>
      </w:r>
      <w:r>
        <w:rPr>
          <w:bCs/>
        </w:rPr>
        <w:t xml:space="preserve">CA or </w:t>
      </w:r>
      <w:r>
        <w:rPr>
          <w:rFonts w:hint="eastAsia"/>
          <w:bCs/>
          <w:lang w:val="en-US" w:eastAsia="zh-CN"/>
        </w:rPr>
        <w:t>MR</w:t>
      </w:r>
      <w:r>
        <w:rPr>
          <w:bCs/>
        </w:rPr>
        <w:t>DC combinations</w:t>
      </w:r>
      <w:r>
        <w:rPr>
          <w:rFonts w:hint="eastAsia"/>
          <w:bCs/>
          <w:lang w:val="en-US" w:eastAsia="zh-CN"/>
        </w:rPr>
        <w:t xml:space="preserve"> that consist of </w:t>
      </w:r>
      <w:r>
        <w:rPr>
          <w:rFonts w:hint="eastAsia"/>
          <w:bCs/>
        </w:rPr>
        <w:t>the band</w:t>
      </w:r>
      <w:r>
        <w:rPr>
          <w:rFonts w:hint="eastAsia"/>
          <w:bCs/>
          <w:lang w:val="en-US" w:eastAsia="zh-CN"/>
        </w:rPr>
        <w:t xml:space="preserve">(s) support </w:t>
      </w:r>
      <w:r>
        <w:rPr>
          <w:rFonts w:hint="eastAsia"/>
          <w:bCs/>
        </w:rPr>
        <w:t>4Rx</w:t>
      </w:r>
      <w:r>
        <w:rPr>
          <w:rFonts w:hint="eastAsia"/>
          <w:lang w:val="en-US" w:eastAsia="zh-CN"/>
        </w:rPr>
        <w:t>/8Rx.</w:t>
      </w:r>
    </w:p>
    <w:p>
      <w:pPr>
        <w:spacing w:after="0"/>
        <w:rPr>
          <w:bCs/>
        </w:rPr>
      </w:pPr>
    </w:p>
    <w:p>
      <w:pPr>
        <w:spacing w:after="0"/>
        <w:rPr>
          <w:rFonts w:hint="eastAsia"/>
          <w:color w:val="auto"/>
          <w:u w:val="none"/>
          <w:lang w:val="en-US" w:eastAsia="zh-CN"/>
        </w:rPr>
      </w:pPr>
      <w:bookmarkStart w:id="11" w:name="OLE_LINK2"/>
      <w:r>
        <w:rPr>
          <w:rFonts w:hint="eastAsia"/>
          <w:bCs/>
          <w:color w:val="auto"/>
          <w:u w:val="none"/>
          <w:lang w:val="en-US" w:eastAsia="zh-CN"/>
        </w:rPr>
        <w:t xml:space="preserve">Note 1: </w:t>
      </w:r>
      <w:r>
        <w:rPr>
          <w:rFonts w:hint="eastAsia"/>
          <w:color w:val="auto"/>
          <w:u w:val="none"/>
          <w:lang w:val="en-US" w:eastAsia="zh-CN"/>
        </w:rPr>
        <w:t>The basket WID work for 8Rx will be started after all of the RF requirements for the example bands are finished.</w:t>
      </w:r>
    </w:p>
    <w:p>
      <w:pPr>
        <w:spacing w:after="0"/>
        <w:rPr>
          <w:rFonts w:hint="eastAsia"/>
          <w:color w:val="auto"/>
          <w:u w:val="none"/>
          <w:lang w:val="en-US" w:eastAsia="zh-CN"/>
        </w:rPr>
      </w:pPr>
      <w:bookmarkStart w:id="12" w:name="OLE_LINK4"/>
      <w:r>
        <w:rPr>
          <w:rFonts w:hint="eastAsia"/>
          <w:color w:val="auto"/>
          <w:u w:val="none"/>
          <w:lang w:val="en-US" w:eastAsia="zh-CN"/>
        </w:rPr>
        <w:t xml:space="preserve">Note 2: </w:t>
      </w:r>
      <w:bookmarkStart w:id="13" w:name="OLE_LINK5"/>
      <w:r>
        <w:rPr>
          <w:rFonts w:hint="eastAsia"/>
          <w:color w:val="auto"/>
          <w:u w:val="none"/>
          <w:lang w:val="en-US" w:eastAsia="zh-CN"/>
        </w:rPr>
        <w:t xml:space="preserve">8Rx for </w:t>
      </w:r>
      <w:bookmarkStart w:id="14" w:name="OLE_LINK1"/>
      <w:r>
        <w:rPr>
          <w:rFonts w:hint="eastAsia"/>
          <w:color w:val="auto"/>
          <w:u w:val="none"/>
          <w:lang w:val="en-US" w:eastAsia="zh-CN"/>
        </w:rPr>
        <w:t>CPE/FWA/vehicle/industrial devices</w:t>
      </w:r>
      <w:bookmarkEnd w:id="13"/>
      <w:bookmarkEnd w:id="14"/>
    </w:p>
    <w:bookmarkEnd w:id="11"/>
    <w:bookmarkEnd w:id="12"/>
    <w:p>
      <w:pPr>
        <w:spacing w:after="0"/>
        <w:rPr>
          <w:bCs/>
        </w:rPr>
      </w:pPr>
      <w:r>
        <w:rPr>
          <w:rFonts w:hint="eastAsia"/>
          <w:bCs/>
        </w:rPr>
        <w:t xml:space="preserve"> </w:t>
      </w:r>
    </w:p>
    <w:p>
      <w:pPr>
        <w:spacing w:after="0"/>
        <w:rPr>
          <w:bCs/>
        </w:rPr>
      </w:pPr>
    </w:p>
    <w:p>
      <w:pPr>
        <w:spacing w:after="0"/>
        <w:rPr>
          <w:bCs/>
        </w:rPr>
        <w:sectPr>
          <w:pgSz w:w="11906" w:h="16838"/>
          <w:pgMar w:top="567" w:right="1134" w:bottom="709" w:left="1134" w:header="720" w:footer="720" w:gutter="0"/>
          <w:cols w:space="720" w:num="1"/>
        </w:sectPr>
      </w:pPr>
    </w:p>
    <w:p>
      <w:pPr>
        <w:ind w:right="-99"/>
        <w:rPr>
          <w:rFonts w:ascii="Arial" w:hAnsi="Arial" w:eastAsia="PMingLiU"/>
          <w:color w:val="0000FF"/>
          <w:sz w:val="28"/>
        </w:rPr>
      </w:pPr>
      <w:r>
        <w:rPr>
          <w:rFonts w:ascii="Arial" w:hAnsi="Arial" w:eastAsia="PMingLiU"/>
          <w:color w:val="0000FF"/>
          <w:sz w:val="28"/>
        </w:rPr>
        <w:t xml:space="preserve">4.1.2  </w:t>
      </w:r>
      <w:r>
        <w:rPr>
          <w:rFonts w:ascii="Arial" w:hAnsi="Arial" w:eastAsia="PMingLiU"/>
          <w:color w:val="0000FF"/>
          <w:sz w:val="28"/>
        </w:rPr>
        <w:tab/>
      </w:r>
      <w:r>
        <w:rPr>
          <w:rFonts w:ascii="Arial" w:hAnsi="Arial" w:eastAsia="PMingLiU"/>
          <w:color w:val="0000FF"/>
          <w:sz w:val="28"/>
        </w:rPr>
        <w:t>Requests overview</w:t>
      </w:r>
    </w:p>
    <w:p>
      <w:pPr>
        <w:pStyle w:val="82"/>
        <w:outlineLvl w:val="1"/>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r>
              <w:rPr>
                <w:bCs/>
                <w:sz w:val="18"/>
              </w:rPr>
              <w:t>n</w:t>
            </w:r>
            <w:r>
              <w:rPr>
                <w:rFonts w:hint="eastAsia"/>
                <w:bCs/>
                <w:sz w:val="18"/>
                <w:lang w:val="en-US" w:eastAsia="zh-CN"/>
              </w:rPr>
              <w:t>5</w:t>
            </w:r>
          </w:p>
        </w:tc>
        <w:tc>
          <w:tcPr>
            <w:tcW w:w="752" w:type="pct"/>
          </w:tcPr>
          <w:p>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tcPr>
          <w:p>
            <w:pPr>
              <w:spacing w:after="0"/>
              <w:rPr>
                <w:bCs/>
                <w:sz w:val="18"/>
                <w:lang w:val="sv-SE" w:eastAsia="zh-CN"/>
              </w:rPr>
            </w:pPr>
            <w:r>
              <w:rPr>
                <w:bCs/>
                <w:sz w:val="18"/>
                <w:lang w:val="sv-SE"/>
              </w:rPr>
              <w:t>gaol8@chinatelecom.cn</w:t>
            </w:r>
          </w:p>
        </w:tc>
        <w:tc>
          <w:tcPr>
            <w:tcW w:w="1296" w:type="pct"/>
          </w:tcPr>
          <w:p>
            <w:pPr>
              <w:spacing w:after="0"/>
              <w:rPr>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tcPr>
          <w:p>
            <w:pPr>
              <w:spacing w:after="0"/>
              <w:rPr>
                <w:bCs/>
                <w:sz w:val="18"/>
                <w:lang w:val="en-US"/>
              </w:rPr>
            </w:pPr>
            <w:r>
              <w:rPr>
                <w:rFonts w:eastAsia="PMingLiU"/>
                <w:bCs/>
                <w:sz w:val="18"/>
                <w:lang w:val="en-US"/>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pStyle w:val="82"/>
        <w:outlineLvl w:val="1"/>
        <w:rPr>
          <w:rFonts w:eastAsia="PMingLiU"/>
          <w:color w:val="0000FF"/>
          <w:sz w:val="28"/>
        </w:rPr>
      </w:pPr>
      <w:r>
        <w:t>Table 4.1.</w:t>
      </w:r>
      <w:r>
        <w:rPr>
          <w:rFonts w:hint="eastAsia"/>
          <w:lang w:val="en-US" w:eastAsia="zh-CN"/>
        </w:rPr>
        <w:t>2</w:t>
      </w:r>
      <w:r>
        <w:t>-</w:t>
      </w:r>
      <w:r>
        <w:rPr>
          <w:rFonts w:hint="eastAsia"/>
          <w:lang w:val="en-US" w:eastAsia="zh-CN"/>
        </w:rPr>
        <w:t>2</w:t>
      </w:r>
      <w:r>
        <w:t xml:space="preserve">: Requests tracking </w:t>
      </w:r>
      <w:r>
        <w:rPr>
          <w:rFonts w:hint="eastAsia"/>
          <w:lang w:val="en-US" w:eastAsia="zh-CN"/>
        </w:rPr>
        <w:t>for 8Rx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tcPr>
          <w:p>
            <w:pPr>
              <w:spacing w:after="0"/>
              <w:jc w:val="center"/>
              <w:rPr>
                <w:b/>
                <w:bCs/>
                <w:sz w:val="18"/>
              </w:rPr>
            </w:pPr>
            <w:r>
              <w:rPr>
                <w:b/>
                <w:bCs/>
                <w:sz w:val="18"/>
              </w:rPr>
              <w:t>Band</w:t>
            </w:r>
          </w:p>
        </w:tc>
        <w:tc>
          <w:tcPr>
            <w:tcW w:w="752"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296" w:type="pct"/>
            <w:shd w:val="clear" w:color="auto" w:fill="D9D9D9"/>
          </w:tcPr>
          <w:p>
            <w:pPr>
              <w:spacing w:after="0"/>
              <w:jc w:val="center"/>
              <w:rPr>
                <w:b/>
                <w:bCs/>
                <w:sz w:val="18"/>
              </w:rPr>
            </w:pPr>
            <w:r>
              <w:rPr>
                <w:b/>
                <w:bCs/>
                <w:sz w:val="18"/>
              </w:rPr>
              <w:t>Other supporting companies</w:t>
            </w:r>
          </w:p>
        </w:tc>
        <w:tc>
          <w:tcPr>
            <w:tcW w:w="110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rPr>
            </w:pPr>
          </w:p>
        </w:tc>
        <w:tc>
          <w:tcPr>
            <w:tcW w:w="752" w:type="pct"/>
          </w:tcPr>
          <w:p>
            <w:pPr>
              <w:spacing w:after="0"/>
              <w:rPr>
                <w:bCs/>
                <w:sz w:val="18"/>
              </w:rPr>
            </w:pPr>
          </w:p>
        </w:tc>
        <w:tc>
          <w:tcPr>
            <w:tcW w:w="975" w:type="pct"/>
          </w:tcPr>
          <w:p>
            <w:pPr>
              <w:spacing w:after="0"/>
              <w:rPr>
                <w:bCs/>
                <w:sz w:val="18"/>
              </w:rPr>
            </w:pPr>
          </w:p>
        </w:tc>
        <w:tc>
          <w:tcPr>
            <w:tcW w:w="1296" w:type="pct"/>
          </w:tcPr>
          <w:p>
            <w:pPr>
              <w:spacing w:after="0"/>
              <w:rPr>
                <w:bCs/>
                <w:i/>
                <w:sz w:val="18"/>
              </w:rPr>
            </w:pPr>
            <w:r>
              <w:rPr>
                <w:bCs/>
                <w:i/>
                <w:sz w:val="18"/>
              </w:rPr>
              <w:t>Note: minimum 3</w:t>
            </w:r>
          </w:p>
        </w:tc>
        <w:tc>
          <w:tcPr>
            <w:tcW w:w="110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Pr>
          <w:p>
            <w:pPr>
              <w:spacing w:after="0"/>
              <w:rPr>
                <w:bCs/>
                <w:sz w:val="18"/>
                <w:lang w:eastAsia="zh-CN"/>
              </w:rPr>
            </w:pPr>
          </w:p>
        </w:tc>
        <w:tc>
          <w:tcPr>
            <w:tcW w:w="752" w:type="pct"/>
          </w:tcPr>
          <w:p>
            <w:pPr>
              <w:spacing w:after="0"/>
              <w:rPr>
                <w:bCs/>
                <w:sz w:val="18"/>
                <w:lang w:val="en-US" w:eastAsia="zh-CN"/>
              </w:rPr>
            </w:pPr>
          </w:p>
        </w:tc>
        <w:tc>
          <w:tcPr>
            <w:tcW w:w="975" w:type="pct"/>
          </w:tcPr>
          <w:p>
            <w:pPr>
              <w:spacing w:after="0"/>
              <w:rPr>
                <w:bCs/>
                <w:sz w:val="18"/>
                <w:lang w:val="sv-SE"/>
              </w:rPr>
            </w:pPr>
          </w:p>
          <w:p>
            <w:pPr>
              <w:spacing w:after="0"/>
              <w:rPr>
                <w:bCs/>
                <w:sz w:val="18"/>
                <w:lang w:val="sv-SE"/>
              </w:rPr>
            </w:pPr>
          </w:p>
        </w:tc>
        <w:tc>
          <w:tcPr>
            <w:tcW w:w="1296" w:type="pct"/>
          </w:tcPr>
          <w:p>
            <w:pPr>
              <w:spacing w:after="0"/>
              <w:rPr>
                <w:bCs/>
                <w:sz w:val="18"/>
                <w:lang w:val="en-US"/>
              </w:rPr>
            </w:pPr>
          </w:p>
        </w:tc>
        <w:tc>
          <w:tcPr>
            <w:tcW w:w="1101" w:type="pct"/>
          </w:tcPr>
          <w:p>
            <w:pPr>
              <w:spacing w:after="0"/>
              <w:rPr>
                <w:bCs/>
                <w:sz w:val="18"/>
                <w:lang w:val="en-US"/>
              </w:rPr>
            </w:pP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4"/>
        </w:numPr>
        <w:spacing w:after="0"/>
      </w:pPr>
      <w:r>
        <w:rPr>
          <w:bCs/>
        </w:rPr>
        <w:t>Required changes to be added to release independence TS 3</w:t>
      </w:r>
      <w:r>
        <w:rPr>
          <w:rFonts w:hint="eastAsia"/>
          <w:bCs/>
          <w:lang w:eastAsia="ja-JP"/>
        </w:rPr>
        <w:t>8</w:t>
      </w:r>
      <w:r>
        <w:rPr>
          <w:bCs/>
        </w:rPr>
        <w:t>.307.</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6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8"/>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rFonts w:hint="eastAsia"/>
                <w:i/>
                <w:lang w:val="en-US" w:eastAsia="zh-CN"/>
              </w:rPr>
              <w:t xml:space="preserve"> and 8Rx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 and updated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CN"/>
              </w:rPr>
            </w:pPr>
            <w:r>
              <w:rPr>
                <w:rFonts w:hint="eastAsia"/>
                <w:i/>
                <w:lang w:eastAsia="zh-TW"/>
              </w:rPr>
              <w:t>38.101-</w:t>
            </w:r>
            <w:r>
              <w:rPr>
                <w:rFonts w:hint="eastAsia"/>
                <w:i/>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CN"/>
              </w:rPr>
            </w:pPr>
            <w:r>
              <w:rPr>
                <w:rFonts w:hint="eastAsia"/>
                <w:i/>
                <w:lang w:val="en-US" w:eastAsia="zh-CN"/>
              </w:rPr>
              <w:t>Update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 xml:space="preserve">Define 4Rx </w:t>
            </w:r>
            <w:r>
              <w:rPr>
                <w:rFonts w:hint="eastAsia"/>
                <w:i/>
                <w:lang w:val="en-US" w:eastAsia="zh-CN"/>
              </w:rPr>
              <w:t xml:space="preserve">and 8Rx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68"/>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8"/>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49"/>
          <w:rFonts w:hint="eastAsia"/>
          <w:i/>
          <w:lang w:val="en-US" w:eastAsia="zh-CN"/>
        </w:rPr>
        <w:t>zhou.wubin@zte.com.cn</w:t>
      </w:r>
      <w:r>
        <w:rPr>
          <w:rStyle w:val="49"/>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68"/>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eastAsia"/>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5559C"/>
    <w:multiLevelType w:val="multilevel"/>
    <w:tmpl w:val="06D555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05E8F"/>
    <w:rsid w:val="036A7CB1"/>
    <w:rsid w:val="03BD4852"/>
    <w:rsid w:val="03BE6DD9"/>
    <w:rsid w:val="03C23456"/>
    <w:rsid w:val="03E1395C"/>
    <w:rsid w:val="03EA4920"/>
    <w:rsid w:val="042F153B"/>
    <w:rsid w:val="04406892"/>
    <w:rsid w:val="04763C47"/>
    <w:rsid w:val="04AC24BE"/>
    <w:rsid w:val="04DE21D3"/>
    <w:rsid w:val="051234E7"/>
    <w:rsid w:val="05477D36"/>
    <w:rsid w:val="059D084A"/>
    <w:rsid w:val="05F206F5"/>
    <w:rsid w:val="06445D7B"/>
    <w:rsid w:val="06D65E5D"/>
    <w:rsid w:val="06FD7870"/>
    <w:rsid w:val="07336B71"/>
    <w:rsid w:val="07663969"/>
    <w:rsid w:val="07A64744"/>
    <w:rsid w:val="08031E5D"/>
    <w:rsid w:val="08162465"/>
    <w:rsid w:val="095A3284"/>
    <w:rsid w:val="096D31BC"/>
    <w:rsid w:val="09EB7CB6"/>
    <w:rsid w:val="0A57239D"/>
    <w:rsid w:val="0B397796"/>
    <w:rsid w:val="0B426CEE"/>
    <w:rsid w:val="0B5664E2"/>
    <w:rsid w:val="0B5F6400"/>
    <w:rsid w:val="0B651BA6"/>
    <w:rsid w:val="0B8B09AB"/>
    <w:rsid w:val="0BEE6CBE"/>
    <w:rsid w:val="0CA108A0"/>
    <w:rsid w:val="0CC55ABC"/>
    <w:rsid w:val="0DB63C2E"/>
    <w:rsid w:val="0DDE158D"/>
    <w:rsid w:val="0E2D0682"/>
    <w:rsid w:val="0E545977"/>
    <w:rsid w:val="0E9C79C6"/>
    <w:rsid w:val="0F6323B9"/>
    <w:rsid w:val="0FAB5D10"/>
    <w:rsid w:val="0FE35E3E"/>
    <w:rsid w:val="10443CF3"/>
    <w:rsid w:val="10560FBE"/>
    <w:rsid w:val="10EF7B6D"/>
    <w:rsid w:val="114B3A92"/>
    <w:rsid w:val="11AE33AE"/>
    <w:rsid w:val="11BC2F89"/>
    <w:rsid w:val="11D25544"/>
    <w:rsid w:val="127B4402"/>
    <w:rsid w:val="134819E3"/>
    <w:rsid w:val="135B09CC"/>
    <w:rsid w:val="148B3CA3"/>
    <w:rsid w:val="152A7670"/>
    <w:rsid w:val="1550030C"/>
    <w:rsid w:val="158E76A7"/>
    <w:rsid w:val="15E11284"/>
    <w:rsid w:val="160E7989"/>
    <w:rsid w:val="168C06AB"/>
    <w:rsid w:val="1715006C"/>
    <w:rsid w:val="18107660"/>
    <w:rsid w:val="1852369A"/>
    <w:rsid w:val="193B3793"/>
    <w:rsid w:val="195A0B1E"/>
    <w:rsid w:val="19686397"/>
    <w:rsid w:val="1AFF7B26"/>
    <w:rsid w:val="1B2862F5"/>
    <w:rsid w:val="1DA158D2"/>
    <w:rsid w:val="1DB01225"/>
    <w:rsid w:val="1DC811A8"/>
    <w:rsid w:val="1DEC00E0"/>
    <w:rsid w:val="1DF9656B"/>
    <w:rsid w:val="1F087A11"/>
    <w:rsid w:val="1F8E7CBB"/>
    <w:rsid w:val="20797D4A"/>
    <w:rsid w:val="20CE2B5B"/>
    <w:rsid w:val="21493EEF"/>
    <w:rsid w:val="215633C5"/>
    <w:rsid w:val="2169381C"/>
    <w:rsid w:val="2223690D"/>
    <w:rsid w:val="22826EB2"/>
    <w:rsid w:val="23641568"/>
    <w:rsid w:val="23BC6668"/>
    <w:rsid w:val="24367EDE"/>
    <w:rsid w:val="24BD5A0F"/>
    <w:rsid w:val="24F40533"/>
    <w:rsid w:val="25190962"/>
    <w:rsid w:val="252B55C3"/>
    <w:rsid w:val="25883684"/>
    <w:rsid w:val="25DF6FB1"/>
    <w:rsid w:val="263F6DD3"/>
    <w:rsid w:val="26855031"/>
    <w:rsid w:val="269E305B"/>
    <w:rsid w:val="26FD6FD3"/>
    <w:rsid w:val="274A622B"/>
    <w:rsid w:val="27804BA8"/>
    <w:rsid w:val="27B54952"/>
    <w:rsid w:val="28113484"/>
    <w:rsid w:val="28881454"/>
    <w:rsid w:val="288D320C"/>
    <w:rsid w:val="29B42D0C"/>
    <w:rsid w:val="2A4F697C"/>
    <w:rsid w:val="2B436DC3"/>
    <w:rsid w:val="2B6927C6"/>
    <w:rsid w:val="2B7C1C68"/>
    <w:rsid w:val="2D534A16"/>
    <w:rsid w:val="2D8361B0"/>
    <w:rsid w:val="2DC7302F"/>
    <w:rsid w:val="2E1F0FE2"/>
    <w:rsid w:val="2F0C71C0"/>
    <w:rsid w:val="2F465DD6"/>
    <w:rsid w:val="2F4C1FAA"/>
    <w:rsid w:val="2F4D20EB"/>
    <w:rsid w:val="2FE74034"/>
    <w:rsid w:val="30244B46"/>
    <w:rsid w:val="30A82F8A"/>
    <w:rsid w:val="30B4334A"/>
    <w:rsid w:val="31A66A7B"/>
    <w:rsid w:val="320C5601"/>
    <w:rsid w:val="32460583"/>
    <w:rsid w:val="32C57B8E"/>
    <w:rsid w:val="32FA369E"/>
    <w:rsid w:val="3315249C"/>
    <w:rsid w:val="33366E2B"/>
    <w:rsid w:val="33BE0588"/>
    <w:rsid w:val="34250AC0"/>
    <w:rsid w:val="343830EC"/>
    <w:rsid w:val="3484155D"/>
    <w:rsid w:val="349A3356"/>
    <w:rsid w:val="34B166C2"/>
    <w:rsid w:val="34EB572D"/>
    <w:rsid w:val="363239D4"/>
    <w:rsid w:val="36F13F1A"/>
    <w:rsid w:val="36F57878"/>
    <w:rsid w:val="371F3ED1"/>
    <w:rsid w:val="37A73838"/>
    <w:rsid w:val="381E1D19"/>
    <w:rsid w:val="3824084B"/>
    <w:rsid w:val="384B6BBD"/>
    <w:rsid w:val="38C50887"/>
    <w:rsid w:val="38D2238D"/>
    <w:rsid w:val="395813A9"/>
    <w:rsid w:val="3A15332F"/>
    <w:rsid w:val="3AC41AE8"/>
    <w:rsid w:val="3B207D62"/>
    <w:rsid w:val="3B481990"/>
    <w:rsid w:val="3B5F1BC2"/>
    <w:rsid w:val="3BF54464"/>
    <w:rsid w:val="3C0E6DE4"/>
    <w:rsid w:val="3C1C631E"/>
    <w:rsid w:val="3C5A0528"/>
    <w:rsid w:val="3D15456F"/>
    <w:rsid w:val="3DAB4660"/>
    <w:rsid w:val="3E0B66D6"/>
    <w:rsid w:val="3E6C7CBD"/>
    <w:rsid w:val="3E8C2697"/>
    <w:rsid w:val="3EF11252"/>
    <w:rsid w:val="3EFC3C53"/>
    <w:rsid w:val="3F362662"/>
    <w:rsid w:val="3F971A73"/>
    <w:rsid w:val="3FF9585E"/>
    <w:rsid w:val="403529BD"/>
    <w:rsid w:val="40461BEB"/>
    <w:rsid w:val="40800173"/>
    <w:rsid w:val="40D96696"/>
    <w:rsid w:val="424A2836"/>
    <w:rsid w:val="42B57E36"/>
    <w:rsid w:val="433475AD"/>
    <w:rsid w:val="4393136A"/>
    <w:rsid w:val="43FC75B2"/>
    <w:rsid w:val="44484D79"/>
    <w:rsid w:val="45413A5A"/>
    <w:rsid w:val="45627B9B"/>
    <w:rsid w:val="46757188"/>
    <w:rsid w:val="46A81E6D"/>
    <w:rsid w:val="476335DC"/>
    <w:rsid w:val="476F5DE6"/>
    <w:rsid w:val="4A3D72CD"/>
    <w:rsid w:val="4A9356B4"/>
    <w:rsid w:val="4AC21449"/>
    <w:rsid w:val="4AE9278E"/>
    <w:rsid w:val="4B670EEB"/>
    <w:rsid w:val="4CA86B04"/>
    <w:rsid w:val="4CC15430"/>
    <w:rsid w:val="4D1E53EC"/>
    <w:rsid w:val="4D3A6979"/>
    <w:rsid w:val="4DFE54D8"/>
    <w:rsid w:val="4EC21CDE"/>
    <w:rsid w:val="4EE226E5"/>
    <w:rsid w:val="503D7404"/>
    <w:rsid w:val="519003F6"/>
    <w:rsid w:val="51BD191D"/>
    <w:rsid w:val="524E1C1D"/>
    <w:rsid w:val="52C8334D"/>
    <w:rsid w:val="52E86D3A"/>
    <w:rsid w:val="531073DC"/>
    <w:rsid w:val="53361FB6"/>
    <w:rsid w:val="538E696F"/>
    <w:rsid w:val="548C6180"/>
    <w:rsid w:val="549A0B04"/>
    <w:rsid w:val="54DC3A41"/>
    <w:rsid w:val="55224084"/>
    <w:rsid w:val="552F3530"/>
    <w:rsid w:val="55744A8F"/>
    <w:rsid w:val="56C36289"/>
    <w:rsid w:val="570537D7"/>
    <w:rsid w:val="57351147"/>
    <w:rsid w:val="574566C5"/>
    <w:rsid w:val="57F34B05"/>
    <w:rsid w:val="58467655"/>
    <w:rsid w:val="584C3483"/>
    <w:rsid w:val="58532F34"/>
    <w:rsid w:val="58B107B4"/>
    <w:rsid w:val="599D36DA"/>
    <w:rsid w:val="59D03D07"/>
    <w:rsid w:val="5A744BE8"/>
    <w:rsid w:val="5B0B69C1"/>
    <w:rsid w:val="5B153892"/>
    <w:rsid w:val="5B420F6E"/>
    <w:rsid w:val="5C030364"/>
    <w:rsid w:val="5C2C4319"/>
    <w:rsid w:val="5C2E5892"/>
    <w:rsid w:val="5C5D7D4F"/>
    <w:rsid w:val="5C685C26"/>
    <w:rsid w:val="5CA80230"/>
    <w:rsid w:val="5CFD0FDA"/>
    <w:rsid w:val="5D062078"/>
    <w:rsid w:val="5D52006A"/>
    <w:rsid w:val="5D6F6112"/>
    <w:rsid w:val="5D7E0669"/>
    <w:rsid w:val="5DBF5872"/>
    <w:rsid w:val="5DD1408B"/>
    <w:rsid w:val="5DDB127B"/>
    <w:rsid w:val="5DDE16DB"/>
    <w:rsid w:val="5E20193F"/>
    <w:rsid w:val="5E441EC8"/>
    <w:rsid w:val="5E742C3B"/>
    <w:rsid w:val="5E896A81"/>
    <w:rsid w:val="5EE230DD"/>
    <w:rsid w:val="5F0A3118"/>
    <w:rsid w:val="5FFD5EE9"/>
    <w:rsid w:val="607A1014"/>
    <w:rsid w:val="60CB4D02"/>
    <w:rsid w:val="60FA6152"/>
    <w:rsid w:val="615F6F75"/>
    <w:rsid w:val="61BD59C6"/>
    <w:rsid w:val="622C7680"/>
    <w:rsid w:val="626D1208"/>
    <w:rsid w:val="63B15A7B"/>
    <w:rsid w:val="63D77F4C"/>
    <w:rsid w:val="64175C30"/>
    <w:rsid w:val="64465CE3"/>
    <w:rsid w:val="65A63DEE"/>
    <w:rsid w:val="65F20E87"/>
    <w:rsid w:val="65F25154"/>
    <w:rsid w:val="665B00FA"/>
    <w:rsid w:val="665D3427"/>
    <w:rsid w:val="6666025D"/>
    <w:rsid w:val="681F6D13"/>
    <w:rsid w:val="68394417"/>
    <w:rsid w:val="690E68B5"/>
    <w:rsid w:val="69B713C5"/>
    <w:rsid w:val="69D578B3"/>
    <w:rsid w:val="6A6321B6"/>
    <w:rsid w:val="6A9320AA"/>
    <w:rsid w:val="6BA22721"/>
    <w:rsid w:val="6C9C1ADF"/>
    <w:rsid w:val="6CFC306C"/>
    <w:rsid w:val="6D3051A1"/>
    <w:rsid w:val="6E564EBE"/>
    <w:rsid w:val="6E91245F"/>
    <w:rsid w:val="6F212D30"/>
    <w:rsid w:val="6F853079"/>
    <w:rsid w:val="6F9C6D4B"/>
    <w:rsid w:val="6FF65D44"/>
    <w:rsid w:val="701C29A6"/>
    <w:rsid w:val="702D1B26"/>
    <w:rsid w:val="705A26C4"/>
    <w:rsid w:val="714308F8"/>
    <w:rsid w:val="71770A66"/>
    <w:rsid w:val="71E3313F"/>
    <w:rsid w:val="721E6681"/>
    <w:rsid w:val="732F4FB1"/>
    <w:rsid w:val="73E516C1"/>
    <w:rsid w:val="73EB4632"/>
    <w:rsid w:val="73F55615"/>
    <w:rsid w:val="740B60BD"/>
    <w:rsid w:val="745F5C79"/>
    <w:rsid w:val="74BE22FD"/>
    <w:rsid w:val="74E57419"/>
    <w:rsid w:val="760C31C7"/>
    <w:rsid w:val="762F3B9D"/>
    <w:rsid w:val="76A6417B"/>
    <w:rsid w:val="77FA3354"/>
    <w:rsid w:val="79897BED"/>
    <w:rsid w:val="79F67820"/>
    <w:rsid w:val="7A876000"/>
    <w:rsid w:val="7AC4327D"/>
    <w:rsid w:val="7ADC085D"/>
    <w:rsid w:val="7AE75FE7"/>
    <w:rsid w:val="7BA224DE"/>
    <w:rsid w:val="7C723B70"/>
    <w:rsid w:val="7CAB09D8"/>
    <w:rsid w:val="7CC25985"/>
    <w:rsid w:val="7D1E65D3"/>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3">
    <w:name w:val="TAR"/>
    <w:basedOn w:val="54"/>
    <w:qFormat/>
    <w:uiPriority w:val="0"/>
    <w:pPr>
      <w:jc w:val="right"/>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AC"/>
    <w:basedOn w:val="54"/>
    <w:link w:val="93"/>
    <w:qFormat/>
    <w:uiPriority w:val="0"/>
    <w:pPr>
      <w:jc w:val="center"/>
    </w:pPr>
  </w:style>
  <w:style w:type="paragraph" w:customStyle="1" w:styleId="56">
    <w:name w:val="B4"/>
    <w:basedOn w:val="39"/>
    <w:qFormat/>
    <w:uiPriority w:val="0"/>
  </w:style>
  <w:style w:type="paragraph" w:customStyle="1" w:styleId="57">
    <w:name w:val="TT"/>
    <w:basedOn w:val="2"/>
    <w:next w:val="1"/>
    <w:qFormat/>
    <w:uiPriority w:val="0"/>
    <w:pPr>
      <w:outlineLvl w:val="9"/>
    </w:pPr>
  </w:style>
  <w:style w:type="paragraph" w:customStyle="1" w:styleId="58">
    <w:name w:val="EX"/>
    <w:basedOn w:val="1"/>
    <w:qFormat/>
    <w:uiPriority w:val="0"/>
    <w:pPr>
      <w:keepLines/>
      <w:ind w:left="1702" w:hanging="1418"/>
    </w:pPr>
  </w:style>
  <w:style w:type="paragraph" w:customStyle="1" w:styleId="59">
    <w:name w:val="B3"/>
    <w:basedOn w:val="12"/>
    <w:qFormat/>
    <w:uiPriority w:val="0"/>
  </w:style>
  <w:style w:type="paragraph" w:customStyle="1" w:styleId="60">
    <w:name w:val="FP"/>
    <w:basedOn w:val="1"/>
    <w:qFormat/>
    <w:uiPriority w:val="0"/>
    <w:pPr>
      <w:spacing w:after="0"/>
    </w:pPr>
  </w:style>
  <w:style w:type="paragraph" w:customStyle="1" w:styleId="61">
    <w:name w:val="TAN"/>
    <w:basedOn w:val="54"/>
    <w:qFormat/>
    <w:uiPriority w:val="0"/>
    <w:pPr>
      <w:ind w:left="851" w:hanging="851"/>
    </w:pPr>
  </w:style>
  <w:style w:type="paragraph" w:customStyle="1" w:styleId="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4">
    <w:name w:val="TAH"/>
    <w:basedOn w:val="55"/>
    <w:link w:val="92"/>
    <w:qFormat/>
    <w:uiPriority w:val="0"/>
    <w:rPr>
      <w:b/>
    </w:rPr>
  </w:style>
  <w:style w:type="paragraph" w:customStyle="1" w:styleId="65">
    <w:name w:val="ZTD"/>
    <w:basedOn w:val="66"/>
    <w:qFormat/>
    <w:uiPriority w:val="0"/>
    <w:pPr>
      <w:framePr w:hRule="auto" w:y="852"/>
    </w:pPr>
    <w:rPr>
      <w:i w:val="0"/>
      <w:sz w:val="40"/>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qFormat/>
    <w:uiPriority w:val="0"/>
    <w:pPr>
      <w:keepLines/>
      <w:ind w:left="1135" w:hanging="851"/>
    </w:pPr>
  </w:style>
  <w:style w:type="paragraph" w:customStyle="1" w:styleId="69">
    <w:name w:val="Editor's Note"/>
    <w:basedOn w:val="68"/>
    <w:qFormat/>
    <w:uiPriority w:val="0"/>
    <w:rPr>
      <w:color w:val="FF0000"/>
    </w:rPr>
  </w:style>
  <w:style w:type="paragraph" w:customStyle="1" w:styleId="70">
    <w:name w:val="EW"/>
    <w:basedOn w:val="58"/>
    <w:qFormat/>
    <w:uiPriority w:val="0"/>
    <w:pPr>
      <w:spacing w:after="0"/>
    </w:pPr>
  </w:style>
  <w:style w:type="paragraph" w:customStyle="1" w:styleId="71">
    <w:name w:val="CR Cover Page"/>
    <w:link w:val="91"/>
    <w:qFormat/>
    <w:uiPriority w:val="0"/>
    <w:pPr>
      <w:spacing w:after="120"/>
    </w:pPr>
    <w:rPr>
      <w:rFonts w:ascii="Arial" w:hAnsi="Arial" w:eastAsia="宋体" w:cs="Times New Roman"/>
      <w:lang w:val="en-GB" w:eastAsia="en-US" w:bidi="ar-SA"/>
    </w:rPr>
  </w:style>
  <w:style w:type="paragraph" w:customStyle="1" w:styleId="7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3">
    <w:name w:val="NW"/>
    <w:basedOn w:val="68"/>
    <w:qFormat/>
    <w:uiPriority w:val="0"/>
    <w:pPr>
      <w:spacing w:after="0"/>
    </w:p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8">
    <w:name w:val="B1"/>
    <w:basedOn w:val="14"/>
    <w:qFormat/>
    <w:uiPriority w:val="0"/>
  </w:style>
  <w:style w:type="paragraph" w:customStyle="1" w:styleId="79">
    <w:name w:val="B5"/>
    <w:basedOn w:val="38"/>
    <w:qFormat/>
    <w:uiPriority w:val="0"/>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1">
    <w:name w:val="B2"/>
    <w:basedOn w:val="13"/>
    <w:qFormat/>
    <w:uiPriority w:val="0"/>
  </w:style>
  <w:style w:type="paragraph" w:customStyle="1" w:styleId="82">
    <w:name w:val="TH"/>
    <w:basedOn w:val="1"/>
    <w:qFormat/>
    <w:uiPriority w:val="0"/>
    <w:pPr>
      <w:keepNext/>
      <w:keepLines/>
      <w:spacing w:before="60"/>
      <w:jc w:val="center"/>
    </w:pPr>
    <w:rPr>
      <w:rFonts w:ascii="Arial" w:hAnsi="Arial"/>
      <w:b/>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4">
    <w:name w:val="ZV"/>
    <w:basedOn w:val="85"/>
    <w:qFormat/>
    <w:uiPriority w:val="0"/>
    <w:pPr>
      <w:framePr w:y="16161"/>
    </w:p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6">
    <w:name w:val="EQ"/>
    <w:basedOn w:val="1"/>
    <w:next w:val="1"/>
    <w:qFormat/>
    <w:uiPriority w:val="0"/>
    <w:pPr>
      <w:keepLines/>
      <w:tabs>
        <w:tab w:val="center" w:pos="4536"/>
        <w:tab w:val="right" w:pos="9072"/>
      </w:tabs>
    </w:pPr>
  </w:style>
  <w:style w:type="paragraph" w:customStyle="1" w:styleId="87">
    <w:name w:val="_Style 86"/>
    <w:semiHidden/>
    <w:qFormat/>
    <w:uiPriority w:val="99"/>
    <w:rPr>
      <w:rFonts w:ascii="Times New Roman" w:hAnsi="Times New Roman" w:eastAsia="宋体" w:cs="Times New Roman"/>
      <w:lang w:val="en-GB" w:eastAsia="en-GB" w:bidi="ar-SA"/>
    </w:rPr>
  </w:style>
  <w:style w:type="paragraph" w:customStyle="1" w:styleId="88">
    <w:name w:val="TF"/>
    <w:basedOn w:val="82"/>
    <w:qFormat/>
    <w:uiPriority w:val="0"/>
    <w:pPr>
      <w:keepNext w:val="0"/>
      <w:spacing w:before="0" w:after="240"/>
    </w:pPr>
  </w:style>
  <w:style w:type="paragraph" w:customStyle="1" w:styleId="89">
    <w:name w:val="HE"/>
    <w:basedOn w:val="1"/>
    <w:qFormat/>
    <w:uiPriority w:val="0"/>
    <w:rPr>
      <w:rFonts w:ascii="Arial" w:hAnsi="Arial"/>
      <w:b/>
    </w:rPr>
  </w:style>
  <w:style w:type="character" w:customStyle="1" w:styleId="90">
    <w:name w:val="ZGSM"/>
    <w:qFormat/>
    <w:uiPriority w:val="0"/>
  </w:style>
  <w:style w:type="character" w:customStyle="1" w:styleId="91">
    <w:name w:val="CR Cover Page Char"/>
    <w:link w:val="71"/>
    <w:qFormat/>
    <w:uiPriority w:val="0"/>
    <w:rPr>
      <w:rFonts w:ascii="Arial" w:hAnsi="Arial"/>
      <w:lang w:val="en-GB" w:eastAsia="en-US"/>
    </w:rPr>
  </w:style>
  <w:style w:type="character" w:customStyle="1" w:styleId="92">
    <w:name w:val="TAH Car"/>
    <w:link w:val="64"/>
    <w:qFormat/>
    <w:locked/>
    <w:uiPriority w:val="0"/>
    <w:rPr>
      <w:rFonts w:ascii="Arial" w:hAnsi="Arial"/>
      <w:b/>
      <w:sz w:val="18"/>
      <w:lang w:val="en-GB" w:eastAsia="en-GB"/>
    </w:rPr>
  </w:style>
  <w:style w:type="character" w:customStyle="1" w:styleId="93">
    <w:name w:val="TAC Char"/>
    <w:link w:val="55"/>
    <w:qFormat/>
    <w:locked/>
    <w:uiPriority w:val="0"/>
    <w:rPr>
      <w:rFonts w:ascii="Arial" w:hAnsi="Arial"/>
      <w:sz w:val="18"/>
      <w:lang w:val="en-GB" w:eastAsia="en-GB"/>
    </w:rPr>
  </w:style>
  <w:style w:type="paragraph" w:customStyle="1" w:styleId="94">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0</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ZTE_Wubin</cp:lastModifiedBy>
  <cp:lastPrinted>2000-02-29T03:31:00Z</cp:lastPrinted>
  <dcterms:modified xsi:type="dcterms:W3CDTF">2022-05-30T06:12:10Z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